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90"/>
        <w:gridCol w:w="880"/>
        <w:gridCol w:w="867"/>
        <w:gridCol w:w="887"/>
        <w:gridCol w:w="886"/>
        <w:gridCol w:w="886"/>
        <w:gridCol w:w="886"/>
        <w:gridCol w:w="886"/>
        <w:gridCol w:w="886"/>
        <w:gridCol w:w="886"/>
        <w:gridCol w:w="886"/>
        <w:gridCol w:w="886"/>
        <w:gridCol w:w="837"/>
      </w:tblGrid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Pr="006F7DB4" w:rsidRDefault="007E5FDB" w:rsidP="00866652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 w:rsidRPr="006F7DB4">
              <w:rPr>
                <w:rFonts w:ascii="Times New Roman" w:hAnsi="Times New Roman"/>
                <w:b/>
                <w:szCs w:val="16"/>
              </w:rPr>
              <w:t xml:space="preserve">Д О Г О В О </w:t>
            </w:r>
            <w:proofErr w:type="gramStart"/>
            <w:r w:rsidRPr="006F7DB4">
              <w:rPr>
                <w:rFonts w:ascii="Times New Roman" w:hAnsi="Times New Roman"/>
                <w:b/>
                <w:szCs w:val="16"/>
              </w:rPr>
              <w:t>Р</w:t>
            </w:r>
            <w:proofErr w:type="gramEnd"/>
            <w:r w:rsidRPr="006F7DB4">
              <w:rPr>
                <w:rFonts w:ascii="Times New Roman" w:hAnsi="Times New Roman"/>
                <w:b/>
                <w:szCs w:val="16"/>
              </w:rPr>
              <w:t xml:space="preserve">  №  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Pr="006F7DB4" w:rsidRDefault="00293619" w:rsidP="00293619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 w:rsidRPr="006F7DB4">
              <w:rPr>
                <w:rFonts w:ascii="Times New Roman" w:hAnsi="Times New Roman"/>
                <w:b/>
                <w:szCs w:val="16"/>
              </w:rPr>
              <w:t xml:space="preserve">холодного </w:t>
            </w:r>
            <w:r w:rsidR="007E5FDB" w:rsidRPr="006F7DB4">
              <w:rPr>
                <w:rFonts w:ascii="Times New Roman" w:hAnsi="Times New Roman"/>
                <w:b/>
                <w:szCs w:val="16"/>
              </w:rPr>
              <w:t>водоснабжения и водоотведения</w:t>
            </w:r>
          </w:p>
        </w:tc>
      </w:tr>
      <w:tr w:rsidR="00172557">
        <w:trPr>
          <w:gridAfter w:val="1"/>
          <w:wAfter w:w="360" w:type="dxa"/>
          <w:trHeight w:val="290"/>
        </w:trPr>
        <w:tc>
          <w:tcPr>
            <w:tcW w:w="11340" w:type="dxa"/>
            <w:gridSpan w:val="12"/>
            <w:shd w:val="clear" w:color="FFFFFF" w:fill="auto"/>
          </w:tcPr>
          <w:p w:rsidR="00172557" w:rsidRPr="006F7DB4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 w:rsidRPr="006F7DB4">
              <w:rPr>
                <w:rFonts w:ascii="Times New Roman" w:hAnsi="Times New Roman"/>
                <w:b/>
                <w:szCs w:val="16"/>
              </w:rPr>
              <w:t>(с физическими лицами – собственниками и нанимателями жилых помещений в МКД)</w:t>
            </w:r>
          </w:p>
        </w:tc>
      </w:tr>
      <w:tr w:rsidR="00172557">
        <w:trPr>
          <w:gridAfter w:val="1"/>
          <w:wAfter w:w="360" w:type="dxa"/>
          <w:trHeight w:val="290"/>
        </w:trPr>
        <w:tc>
          <w:tcPr>
            <w:tcW w:w="8505" w:type="dxa"/>
            <w:gridSpan w:val="9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г. Сургут</w:t>
            </w:r>
          </w:p>
        </w:tc>
        <w:tc>
          <w:tcPr>
            <w:tcW w:w="2835" w:type="dxa"/>
            <w:gridSpan w:val="3"/>
            <w:shd w:val="clear" w:color="FFFFFF" w:fill="auto"/>
          </w:tcPr>
          <w:p w:rsidR="00172557" w:rsidRDefault="006F7DB4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gramStart"/>
            <w:r w:rsidR="007E5FDB">
              <w:rPr>
                <w:rFonts w:ascii="Times New Roman" w:hAnsi="Times New Roman"/>
                <w:szCs w:val="16"/>
              </w:rPr>
              <w:t>г</w:t>
            </w:r>
            <w:proofErr w:type="gramEnd"/>
            <w:r w:rsidR="007E5FDB">
              <w:rPr>
                <w:rFonts w:ascii="Times New Roman" w:hAnsi="Times New Roman"/>
                <w:szCs w:val="16"/>
              </w:rPr>
              <w:t>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 w:rsidP="00866652">
            <w:pPr>
              <w:jc w:val="both"/>
              <w:rPr>
                <w:rFonts w:ascii="Times New Roman" w:hAnsi="Times New Roman"/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16"/>
              </w:rPr>
              <w:t>Сургутское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городское муниципальное унитарное предприятие  «Горводоканал», именуемое в дальнейшем </w:t>
            </w:r>
            <w:proofErr w:type="spellStart"/>
            <w:r>
              <w:rPr>
                <w:rFonts w:ascii="Times New Roman" w:hAnsi="Times New Roman"/>
                <w:szCs w:val="16"/>
              </w:rPr>
              <w:t>Ресурсоснабжающая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организация (РСО), в лице  </w:t>
            </w:r>
            <w:r w:rsidR="00866652">
              <w:rPr>
                <w:rFonts w:ascii="Times New Roman" w:hAnsi="Times New Roman"/>
                <w:szCs w:val="16"/>
              </w:rPr>
              <w:t>директора предприятия</w:t>
            </w:r>
            <w:r>
              <w:rPr>
                <w:rFonts w:ascii="Times New Roman" w:hAnsi="Times New Roman"/>
                <w:szCs w:val="16"/>
              </w:rPr>
              <w:t xml:space="preserve">, действующей на основании </w:t>
            </w:r>
            <w:r w:rsidR="00866652">
              <w:rPr>
                <w:rFonts w:ascii="Times New Roman" w:hAnsi="Times New Roman"/>
                <w:szCs w:val="16"/>
              </w:rPr>
              <w:t>устава</w:t>
            </w:r>
            <w:r>
              <w:rPr>
                <w:rFonts w:ascii="Times New Roman" w:hAnsi="Times New Roman"/>
                <w:szCs w:val="16"/>
              </w:rPr>
              <w:t>, с одной стороны, и  собственник (наниматель) Жилого помещения –</w:t>
            </w:r>
            <w:proofErr w:type="gramStart"/>
            <w:r w:rsidR="006F7DB4">
              <w:rPr>
                <w:rFonts w:ascii="Times New Roman" w:hAnsi="Times New Roman"/>
                <w:szCs w:val="16"/>
                <w:u w:val="single"/>
              </w:rPr>
              <w:t xml:space="preserve">                              </w:t>
            </w:r>
            <w:r>
              <w:rPr>
                <w:rFonts w:ascii="Times New Roman" w:hAnsi="Times New Roman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расположенной в многоквартирном доме по адресу:</w:t>
            </w:r>
            <w:r w:rsidR="006F7DB4">
              <w:rPr>
                <w:rFonts w:ascii="Times New Roman" w:hAnsi="Times New Roman"/>
                <w:szCs w:val="16"/>
              </w:rPr>
              <w:t xml:space="preserve"> </w:t>
            </w:r>
            <w:r w:rsidR="006F7DB4" w:rsidRPr="006F7DB4">
              <w:rPr>
                <w:rFonts w:ascii="Times New Roman" w:hAnsi="Times New Roman"/>
                <w:szCs w:val="16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szCs w:val="16"/>
              </w:rPr>
              <w:t>года рождения, место рождения</w:t>
            </w:r>
            <w:r w:rsidR="006F7DB4">
              <w:rPr>
                <w:rFonts w:ascii="Times New Roman" w:hAnsi="Times New Roman"/>
                <w:szCs w:val="16"/>
                <w:u w:val="single"/>
              </w:rPr>
              <w:t xml:space="preserve">                                 </w:t>
            </w:r>
            <w:r>
              <w:rPr>
                <w:rFonts w:ascii="Times New Roman" w:hAnsi="Times New Roman"/>
                <w:szCs w:val="16"/>
              </w:rPr>
              <w:t>, именуемый(</w:t>
            </w:r>
            <w:proofErr w:type="spellStart"/>
            <w:r>
              <w:rPr>
                <w:rFonts w:ascii="Times New Roman" w:hAnsi="Times New Roman"/>
                <w:szCs w:val="16"/>
              </w:rPr>
              <w:t>ая</w:t>
            </w:r>
            <w:proofErr w:type="spellEnd"/>
            <w:r>
              <w:rPr>
                <w:rFonts w:ascii="Times New Roman" w:hAnsi="Times New Roman"/>
                <w:szCs w:val="16"/>
              </w:rPr>
              <w:t>) в  дальнейшем "Потребитель", действующий(</w:t>
            </w:r>
            <w:proofErr w:type="spellStart"/>
            <w:r>
              <w:rPr>
                <w:rFonts w:ascii="Times New Roman" w:hAnsi="Times New Roman"/>
                <w:szCs w:val="16"/>
              </w:rPr>
              <w:t>ая</w:t>
            </w:r>
            <w:proofErr w:type="spellEnd"/>
            <w:r>
              <w:rPr>
                <w:rFonts w:ascii="Times New Roman" w:hAnsi="Times New Roman"/>
                <w:szCs w:val="16"/>
              </w:rPr>
              <w:t>) на основании: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0395" w:type="dxa"/>
            <w:gridSpan w:val="11"/>
            <w:shd w:val="clear" w:color="FFFFFF" w:fill="auto"/>
            <w:tcMar>
              <w:left w:w="315" w:type="dxa"/>
            </w:tcMar>
          </w:tcPr>
          <w:p w:rsidR="00172557" w:rsidRDefault="007E5FDB" w:rsidP="006F7DB4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Паспорт гражданина РФ:</w:t>
            </w:r>
            <w:r w:rsidRPr="006F7DB4">
              <w:rPr>
                <w:rFonts w:ascii="Times New Roman" w:hAnsi="Times New Roman"/>
                <w:szCs w:val="16"/>
                <w:u w:val="single"/>
              </w:rPr>
              <w:t xml:space="preserve">  </w:t>
            </w: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  <w:tcMar>
              <w:left w:w="315" w:type="dxa"/>
            </w:tcMar>
          </w:tcPr>
          <w:p w:rsidR="00172557" w:rsidRDefault="007E5FDB" w:rsidP="006F7DB4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адрес регистрации: 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shd w:val="clear" w:color="FFFFFF" w:fill="auto"/>
            <w:tcMar>
              <w:left w:w="315" w:type="dxa"/>
            </w:tcMar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ИНН: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 ,</w:t>
            </w:r>
            <w:proofErr w:type="gramEnd"/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tcMar>
              <w:left w:w="315" w:type="dxa"/>
            </w:tcMar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  <w:tcMar>
              <w:left w:w="315" w:type="dxa"/>
            </w:tcMar>
          </w:tcPr>
          <w:p w:rsidR="00172557" w:rsidRDefault="007E5FDB" w:rsidP="006F7DB4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номер телефона,   e-</w:t>
            </w:r>
            <w:proofErr w:type="spellStart"/>
            <w:r>
              <w:rPr>
                <w:rFonts w:ascii="Times New Roman" w:hAnsi="Times New Roman"/>
                <w:szCs w:val="16"/>
              </w:rPr>
              <w:t>mail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,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  <w:tcMar>
              <w:left w:w="315" w:type="dxa"/>
            </w:tcMar>
          </w:tcPr>
          <w:p w:rsidR="00172557" w:rsidRDefault="007E5FDB" w:rsidP="006F7DB4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согласно:</w:t>
            </w:r>
            <w:r w:rsidRPr="006F7DB4">
              <w:rPr>
                <w:rFonts w:ascii="Times New Roman" w:hAnsi="Times New Roman"/>
                <w:szCs w:val="16"/>
              </w:rPr>
              <w:t xml:space="preserve"> 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(указать документ, удостоверяющий право собственности (пользования) Потребителя на жилое помещение)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proofErr w:type="gramStart"/>
            <w:r>
              <w:rPr>
                <w:rFonts w:ascii="Times New Roman" w:hAnsi="Times New Roman"/>
                <w:szCs w:val="16"/>
              </w:rPr>
              <w:t xml:space="preserve">с другой стороны, совместно именуемые в дальнейшем сторонами, учитывая отсутствие централизованного горячего водоснабжения и  </w:t>
            </w:r>
            <w:r w:rsidRPr="006F7DB4">
              <w:rPr>
                <w:rFonts w:ascii="Times New Roman" w:hAnsi="Times New Roman"/>
                <w:szCs w:val="16"/>
              </w:rPr>
              <w:t xml:space="preserve">предоставление </w:t>
            </w:r>
            <w:r w:rsidR="00293619" w:rsidRPr="006F7DB4">
              <w:rPr>
                <w:rFonts w:ascii="Times New Roman" w:hAnsi="Times New Roman"/>
                <w:szCs w:val="16"/>
              </w:rPr>
              <w:t xml:space="preserve">лицом, осуществляющим управление многоквартирным домом (Исполнителем), </w:t>
            </w:r>
            <w:r>
              <w:rPr>
                <w:rFonts w:ascii="Times New Roman" w:hAnsi="Times New Roman"/>
                <w:szCs w:val="16"/>
              </w:rPr>
              <w:t>коммунальной услуги по горячему водоснабжению путем производства с использованием внутридомовых инженерных систем, включающих оборудование, входящее в состав общего имущества собственников помещений в многоквартирном доме, потребители заключают с РСО, поставляющими коммунальные ресурсы для приготовления горячей воды, договоры, содержащие положения о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16"/>
              </w:rPr>
              <w:t>предоставлении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холодного водоснабжения с объемами на нужды горячего водоснабжения, заключили настоящий договор о нижеследующем: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1.  ОБЩИЕ ПОЛОЖЕНИЯ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1.1. Настоящий договор определяет условия приобретения Потребителем коммунальных услуг, перечень которых определен Приложением № 1 к настоящему договору.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1.2. </w:t>
            </w:r>
            <w:proofErr w:type="gramStart"/>
            <w:r>
              <w:rPr>
                <w:rFonts w:ascii="Times New Roman" w:hAnsi="Times New Roman"/>
                <w:szCs w:val="16"/>
              </w:rPr>
              <w:t>Стороны обязуются руководствоваться Гражданским кодексом Российской Федерации, Жилищным кодексом Российской Федерации, Постановлением Правительства РФ от 06.05.2011 г. № 354 «О предоставлении коммунальных услуг собственникам и пользователям помещений в многоквартирных домах и жилых домов» (далее – Правила предоставления коммунальных услуг),  нормативно-правовыми актами федеральных и региональных органов исполнительной власти, органов местного самоуправления г. Сургута, регламентирующими нормы водопотребления и водоотведения, а также отношения и порядок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взаиморасчетов между сторонами, подписавшими договор холодного водоснабжения и водоотведения.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1.3. Параметры Жилого помещения, параметры многоквартирного дома (МКД) приведены в Приложении № 2 к настоящему договору.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2. ПРЕДМЕТ ДОГОВОРА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2.1. По настоящему договору РСО обязуется, предоставлять Потребителю коммунальные услуги, перечень и </w:t>
            </w:r>
            <w:proofErr w:type="gramStart"/>
            <w:r>
              <w:rPr>
                <w:rFonts w:ascii="Times New Roman" w:hAnsi="Times New Roman"/>
                <w:szCs w:val="16"/>
              </w:rPr>
              <w:t>условия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предоставления которых определены Приложением № 1 к настоящему договору, установленного качества и в необходимых Потребителю объемах в пределах технической возможности внутридомовых инженерных систем, с использованием которых осуществляется предоставление коммунальных услуг, в соответствии с требованиями, предусмотренными Правилами предоставления коммунальных услуг, в том числе потребляемые при содержании и использовании общего имущества </w:t>
            </w:r>
            <w:proofErr w:type="gramStart"/>
            <w:r>
              <w:rPr>
                <w:rFonts w:ascii="Times New Roman" w:hAnsi="Times New Roman"/>
                <w:szCs w:val="16"/>
              </w:rPr>
              <w:t>в многоквартирном доме в случаях, предусмотренных законодательством Российской Федерации (далее – коммунальные услуги), а Потребитель обязуется своевременно и в полном объеме вносить РСО плату за коммунальные услуги в сроки и в порядке, установленные законодательством Российской Федерации, настоящим договором, а также  нести иные обязанности, предусмотренные жилищным законодательством Российской Федерации, в том числе Правилами предоставления коммунальных услуг.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 w:rsidP="006F7DB4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2.2. Дата начала предоставления коммунальных услуг</w:t>
            </w:r>
            <w:r w:rsidR="006F7DB4">
              <w:rPr>
                <w:rFonts w:ascii="Times New Roman" w:hAnsi="Times New Roman"/>
                <w:szCs w:val="16"/>
                <w:u w:val="single"/>
              </w:rPr>
              <w:t xml:space="preserve">                       </w:t>
            </w:r>
            <w:proofErr w:type="gramStart"/>
            <w:r>
              <w:rPr>
                <w:rFonts w:ascii="Times New Roman" w:hAnsi="Times New Roman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Cs w:val="16"/>
              </w:rPr>
              <w:t>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3. ПРАВА И ОБЯЗАННОСТИ СТОРОН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890" w:type="dxa"/>
            <w:gridSpan w:val="2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3.1. РСО обязана:</w:t>
            </w: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3.1.1. Осуществлять предоставление коммунальных услуг Потребителю, перечень которых определен Приложением № 1 к настоящему договору, в необходимых для него объёмах в переделах технической возможности внутридомовых инженерных систем, с использованием которых осуществляется предоставление коммунальных услуг, и с соблюдением требований к качеству коммунальных услуг в порядке, предусмотренным законодательством Российской Федерации, настоящим договором.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3.1.2. </w:t>
            </w:r>
            <w:proofErr w:type="gramStart"/>
            <w:r>
              <w:rPr>
                <w:rFonts w:ascii="Times New Roman" w:hAnsi="Times New Roman"/>
                <w:szCs w:val="16"/>
              </w:rPr>
              <w:t>Нести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инженерно-технического обеспечения, совместно с управляющей организацией, товариществом собственников жилья, жилищным, жилищно-строительным кооперативом, осуществляющими управление многоквартирным домом, а также с транзитной организацией принимать участие в установлении факта предоставления коммунальных услуг ненадлежащего качества и (или) с перерывами, превышающими установленную продолжительность, в соответствии с согласованным регламентом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взаимодействия.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3.1.3. Производить расчет размера платы за коммунальные услуги и его изменения в случаях и порядке, которые предусмотрены Правилами предоставления коммунальных услуг, настоящим договором. Размещать информацию в порядке, предусмотренном действующим законодательством, о состоянии расчетов с Потребителем, в том числе: о начислении платы за коммунальные услуги, штрафах, пени, о задолженности/переплате по коммунальным услугам в срок не позднее 5-го числа месяца следующего </w:t>
            </w:r>
            <w:proofErr w:type="gramStart"/>
            <w:r>
              <w:rPr>
                <w:rFonts w:ascii="Times New Roman" w:hAnsi="Times New Roman"/>
                <w:szCs w:val="16"/>
              </w:rPr>
              <w:t>за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расчетным.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3.1.4. </w:t>
            </w:r>
            <w:proofErr w:type="gramStart"/>
            <w:r>
              <w:rPr>
                <w:rFonts w:ascii="Times New Roman" w:hAnsi="Times New Roman"/>
                <w:szCs w:val="16"/>
              </w:rPr>
              <w:t>Производить по письменному обращению Потребителя проверку правильности исчисления 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и по результатам проверки выдавать Потребителю платежные документы на оплату коммунальных услуг, содержащие правильно начисленные платежи в срок, не превышающий 1 месяца со дня обращения Потребителя.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Платежные документы по результатам проверки предоставляются Потребителю способом, установленным настоящим договором для платежных документов, не позднее 5 рабочих дней после завершения такой проверки.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3.1.5. </w:t>
            </w:r>
            <w:proofErr w:type="gramStart"/>
            <w:r>
              <w:rPr>
                <w:rFonts w:ascii="Times New Roman" w:hAnsi="Times New Roman"/>
                <w:szCs w:val="16"/>
              </w:rPr>
              <w:t>Принимать ежемесячно от Потребителя показания индивидуальных, общих (квартирных), комнатных приборов учета (далее – приборы учета), в том числе способами, допускающими возможность удаленной передачи сведений о показаниях  приборов учета (телефон, сайт Исполнителя, сеть Интернет и др.), использовать полученные до 25-го числа расчетного периода включительно показания приборов учета при расчете размера платы за коммунальные услуги за тот расчетный период, за который были сняты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показания.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3.1.6. </w:t>
            </w:r>
            <w:proofErr w:type="gramStart"/>
            <w:r>
              <w:rPr>
                <w:rFonts w:ascii="Times New Roman" w:hAnsi="Times New Roman"/>
                <w:szCs w:val="16"/>
              </w:rPr>
              <w:t>Обеспечить ввод в эксплуатацию приборов учета коммунальных услуг, с составлением соответствующего акта и фиксацией начальных показаний на момент завершения процедуры ввода таких приборов в эксплуатацию с установкой контрольных пломб, в срок, не превышающий 10 рабочих дней со дня получения от Потребителя заявления о необходимости проведения такой проверки в отношении его прибора учета.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3.1.7. Информировать Потребителя о плановых перерывах в предоставлении коммунальных услуг, о тарифах на коммунальные услуги, о проведении аварийных, ремонтных работ путем размещения на сайте РСО в сети Интернет – www.gvk86.ru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3.1.8. Обеспечить доставку Потребителю платежных документов на оплату коммунальных услуг не позднее 5-го числа месяца следующего за расчетным включительно путем размещения платежного документа в почтовом ящике по почтовому адресу жилого помещения потребителя, в отношении которого заключается настоящий договор.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3.1.9. Вести учет обращений (предложений, заявлений, жалоб, претензий) Потребителя, рассматривать и принимать необходимые меры, давать ответы в сроки, установленные законодательством Российской Федерации. На обращения, сроки предоставление информации, по которым не определены законодательством, ответы предоставляются в течение 30 дней.</w:t>
            </w:r>
          </w:p>
        </w:tc>
      </w:tr>
      <w:tr w:rsidR="00172557">
        <w:trPr>
          <w:trHeight w:val="60"/>
        </w:trPr>
        <w:tc>
          <w:tcPr>
            <w:tcW w:w="12285" w:type="dxa"/>
            <w:gridSpan w:val="13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3.2. РСО имеет право: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3.2.1. Требовать от Потребителя предоставления документов, необходимых для заключения настоящего договора, ведения корректных начислений и </w:t>
            </w:r>
            <w:proofErr w:type="gramStart"/>
            <w:r>
              <w:rPr>
                <w:rFonts w:ascii="Times New Roman" w:hAnsi="Times New Roman"/>
                <w:szCs w:val="16"/>
              </w:rPr>
              <w:t>выполнениях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иных обязательств по настоящему Договору.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3.2.2. Требовать надлежащего исполнения Потребителем своих обязанностей по настоящему Договору, в том числе по своевременному внесению платы за потребленные коммунальные услуги, а также уплаты неустоек (штрафов, пеней), в случаях, установленных законом или настоящим Договором.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3.2.3. Приостанавливать или ограничивать в порядке, установленном настоящим договором, подачу Потребителю коммунальных ресурсов, а также потребовать в установленном законодательством Российской Федерации порядке компенсации Потребителем затрат, понесенных РСО в связи с введением ограничения режима потребления и в связи с восстановлением режима потребления.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3.2.4.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Уведомлять Потребителя о наличии задолженности по оплате коммунальных услуг или задолженности по уплате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</w:t>
            </w:r>
            <w:r>
              <w:rPr>
                <w:rFonts w:ascii="Times New Roman" w:hAnsi="Times New Roman"/>
                <w:szCs w:val="16"/>
              </w:rPr>
              <w:lastRenderedPageBreak/>
              <w:t>жилищно-коммунального хозяйства, посредством размещения на официальной странице РСО в сети Интернет, на информационных стендах либо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посредством передачи Потребителю голосовой информации по сети фиксированной телефонной связи;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lastRenderedPageBreak/>
              <w:t>3.2.5. Требовать допуска представителей РСО в занимаемое жилое или нежилое помещение для осмотра технического и санитарного состояния внутриквартирного оборудования, предварительно согласовав время доступа в помещение не менее чем за 2 рабочих дня, посредством телефонной связи;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3.2.6. </w:t>
            </w:r>
            <w:proofErr w:type="gramStart"/>
            <w:r>
              <w:rPr>
                <w:rFonts w:ascii="Times New Roman" w:hAnsi="Times New Roman"/>
                <w:szCs w:val="16"/>
              </w:rPr>
              <w:t>Проводить в порядке, определенном Правилами предоставления коммунальных услуг, проверки состояния установленных и введенных в эксплуатацию приборов учета, факта их наличия или отсутствия, проверки достоверности представленных потребителями сведений о показаниях приборов учета путем сверки их с показаниями соответствующего прибора учета на момент проверки, проверки применения вспомогательных средств (размещение на приборе учета антимагнитных лент и т.п.), направленных на предотвращение установки устройств</w:t>
            </w:r>
            <w:proofErr w:type="gramEnd"/>
            <w:r>
              <w:rPr>
                <w:rFonts w:ascii="Times New Roman" w:hAnsi="Times New Roman"/>
                <w:szCs w:val="16"/>
              </w:rPr>
              <w:t>, искажающих показания приборов учета в порядке и сроки, установленные действующим законодательством Российской Федерации, путем посещения помещений и домовладений, в которых установлены эти приборы учета;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3.2.7. Устанавливать при вводе прибора учета в эксплуатацию или при последующих плановых (внеплановых) проверках прибора учета на приборы учета холодной и горячей воды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3.2.8. Взимать плату с Потребителя за повторное опломбирование приборов учета в связи с нарушением пломбы или знаков поверки потребителем или третьим лицом.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3.2.9. Требовать от Потребителя полного возмещения убытков, возникших по его вине, в случае невыполнения обязанности допускать в занимаемое им жилое или нежилое помещение представителей РСО;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3.2.10.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и горячей воды, и составлять акт об установлении количества граждан, временно проживающих в жилом помещении, в порядке, предусмотренном Правилами предоставления коммунальных услуг.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3.2.11. Определять количество фактически проживающих граждан (при несоответствии с количеством официально зарегистрированных):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а) на основании заявления собственника, но не менее количества официально зарегистрированных граждан (за исключением периодов временного отсутствия);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б) на основании данных, установленных компетентными органами или судом;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в) иным способом, установленным действующим законодательством Российской Федерации.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3.2.12. В случае составления акта об отказе в допуске к прибору учета производить расчет </w:t>
            </w:r>
            <w:proofErr w:type="gramStart"/>
            <w:r>
              <w:rPr>
                <w:rFonts w:ascii="Times New Roman" w:hAnsi="Times New Roman"/>
                <w:szCs w:val="16"/>
              </w:rPr>
              <w:t>платы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за коммунальные услуги исходя из норматива потребления коммунальных услуг с учетом количества постоянно и временно проживающих в жилом помещении граждан, в том числе указанного в акте, с учетом повышающего коэффициента в размере 1,5.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3.2.13. Обрабатывать и использовать персональные данные Потребителей для осуществления своих  прав и обязанностей по настоящему Договору в соответствии требованиями, предусмотренными законодательством РФ.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3.2.14.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предпринимателя: для снятия показаний индивидуальных, общих (квартирных), комнатных приборов учета; для доставки платежных документов потребителям; для осуществления иных прав и обязанностей по настоящему Договору.</w:t>
            </w:r>
          </w:p>
        </w:tc>
      </w:tr>
      <w:tr w:rsidR="00172557">
        <w:trPr>
          <w:trHeight w:val="60"/>
        </w:trPr>
        <w:tc>
          <w:tcPr>
            <w:tcW w:w="12285" w:type="dxa"/>
            <w:gridSpan w:val="13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3.3. Потребитель обязан: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3.3.1. Вносить в полном объеме плату за коммунальные услуги непосредственно РСО, в срок до 10 числа месяца, следующего за истекшим, а также производить уплату неустоек (штрафов, пеней), в порядке, установленном законом или настоящим Договором.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3.3.2. </w:t>
            </w:r>
            <w:proofErr w:type="gramStart"/>
            <w:r>
              <w:rPr>
                <w:rFonts w:ascii="Times New Roman" w:hAnsi="Times New Roman"/>
                <w:szCs w:val="16"/>
              </w:rPr>
              <w:t>Обеспечить в срок не позднее 30 календарных дней с даты начала предоставления РСО коммунальной услуги оснащение жилого помещения приборами учета либо сообщить в РСО о невозможности установить прибор учета для составления акта об отсутствии технической возможности установки прибора учета холодной и горячей воды, в случае если техническая возможность  установки прибора отсутствует.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3.3.3. Не позднее месяца, следующего за датой установки, обеспечить ввод установленного прибора учета в эксплуатацию, т. е. обеспечить документальное оформление прибора учета в качестве прибора учета, по показаниям которого осуществляется расчет размера платы за коммунальные услуги, путем подачи заявки исполнителю.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3.3.4. Сведения об установленных приборах учета в Жилом помещении на момент заключения настоящего договора приведены в Приложении № 2 к настоящему договору.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3.3.5. Обеспечить надлежащую техническую эксплуатацию, сохранность и своевременность замены установленных приборов учета в порядке и сроки, которые установлены законодательством Российской Федерации.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3.3.6. Ежемесячно в период с 20 по 25 число текущего месяца включительно снимать показания приборов учета и передавать их РСО: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по адресу: г. Сургут, ул. Дзержинского, 7/2;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на официальном сайте gvk86.ru в разделе «Физическим лицам» - «Передать показания»;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по телефону горячей линии 8 800 2222 184;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по телефону 55-04-41, доб. 7;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- на </w:t>
            </w:r>
            <w:proofErr w:type="spellStart"/>
            <w:r>
              <w:rPr>
                <w:rFonts w:ascii="Times New Roman" w:hAnsi="Times New Roman"/>
                <w:szCs w:val="16"/>
              </w:rPr>
              <w:t>email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mkd@gvk86.ru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 ;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указав в письме номер лицевого счета и показания узлов учета;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395" w:type="dxa"/>
            <w:gridSpan w:val="11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через личный кабинет Потребителя в государственной информационной системе жилищно-коммунального хозяйства.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В случае не предоставления показаний приборов учёта за расчетный период в срок, установленный настоящим пунктом, РСО определяет объём потребления коммунальных услуг расчетным способом в порядке, установленном п. 4.10. настоящего договора.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3.3.7. Сохранять установленные РСО при вводе прибора учета в эксплуатацию или при последующих плановых (внеплановых) проверках прибора учета на приборы учета холодной и горячей воды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3.3.8.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Обеспечивать проведение поверок установленных за счет Потребителя приборов учета в сроки, установленные технической документацией на прибор учета, письменно проинформировав РСО о дате снятия прибора учета для осуществления его поверки и сообщить показания прибора учета на момент окончания </w:t>
            </w:r>
            <w:proofErr w:type="spellStart"/>
            <w:r>
              <w:rPr>
                <w:rFonts w:ascii="Times New Roman" w:hAnsi="Times New Roman"/>
                <w:szCs w:val="16"/>
              </w:rPr>
              <w:t>межповерочного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срока, а также сообщить о дате установления прибора учета по итогам проведения его поверки и сообщить показания прибора учета на момент начала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16"/>
              </w:rPr>
              <w:t>межповерочного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срока, направлять РСО копию свидетельства о поверке или иного документа, удостоверяющего результаты поверки прибора учета, осуществленной в соответствии с положениями законодательства Российской Федерации об обеспечении единства измерений;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3.3.9.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В случае выхода прибора учета из строя (неисправности), в том числе </w:t>
            </w:r>
            <w:proofErr w:type="spellStart"/>
            <w:r>
              <w:rPr>
                <w:rFonts w:ascii="Times New Roman" w:hAnsi="Times New Roman"/>
                <w:szCs w:val="16"/>
              </w:rPr>
              <w:t>неотображения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      </w:r>
            <w:proofErr w:type="spellStart"/>
            <w:r>
              <w:rPr>
                <w:rFonts w:ascii="Times New Roman" w:hAnsi="Times New Roman"/>
                <w:szCs w:val="16"/>
              </w:rPr>
              <w:t>межповерочного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интервала поверки прибора учета, если требуется проведение демонтажа прибора учета в срок не позднее 3 рабочих дней с момента обнаружения неисправности письменно известить об этом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РСО и сообщить показания прибора учета на момент его выхода из строя (возникновения неисправности). Потребитель в случае выхода прибора учета из строя (неисправности) обязан обеспечить устранение выявленной неисправности (осуществление ремонта, замены) в течение 30 дней со дня выхода прибора учета из строя (возникновения неисправности)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3.3.10. </w:t>
            </w:r>
            <w:proofErr w:type="gramStart"/>
            <w:r>
              <w:rPr>
                <w:rFonts w:ascii="Times New Roman" w:hAnsi="Times New Roman"/>
                <w:szCs w:val="16"/>
              </w:rPr>
              <w:t>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кооперативом, осуществляющими управление многоквартирным домом, а при наличии возможности – принимать все меры по устранению таких неисправностей, пожара и аварий.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3.3.11. Допускать представителей РСО в занимаемое жилое помещение для осмотра технического и санитарного состояния внутриквартирного оборудования, для снятия показаний приборов учета, проверки их состояния, факта их наличия или отсутствия, а также достоверности переданных потребителем исполнителю сведений о показаниях таких приборов учета в порядке, указанном в настоящем договоре;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3.3.12. </w:t>
            </w:r>
            <w:proofErr w:type="gramStart"/>
            <w:r>
              <w:rPr>
                <w:rFonts w:ascii="Times New Roman" w:hAnsi="Times New Roman"/>
                <w:szCs w:val="16"/>
              </w:rPr>
              <w:t>В срок не позднее 5 рабочих дней с момента заключения настоящего договора предоставить справку паспортного стола о количестве зарегистрированных в жилом помещении лиц, а также информировать РСО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прибором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учета.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3.3.13.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Письменно уведомлять РСО о передаче прав на жилое помещение, а также о предоставлении прав владения и (или) пользования жилым помещением третьим лицам, в срок не позднее 5 рабочих дней с момента наступления одного из вышеуказанных событий, а также сообщить показания прибора учета на момент наступления такого события и произвести полный расчет за потребленные коммунальные услуги с РСО на дату </w:t>
            </w:r>
            <w:r>
              <w:rPr>
                <w:rFonts w:ascii="Times New Roman" w:hAnsi="Times New Roman"/>
                <w:szCs w:val="16"/>
              </w:rPr>
              <w:lastRenderedPageBreak/>
              <w:t>передачи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прав. Уведомление может быть направлено РСО по почте или передано Потребителем лично.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lastRenderedPageBreak/>
              <w:t>3.3.14. Уведомлять РСО обо всех изменениях, касающихся условий договора, в течение 10 рабочих дней со дня наступления изменений.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3.3.15. Потребители, несвоевременно и (или) </w:t>
            </w:r>
            <w:proofErr w:type="spellStart"/>
            <w:r>
              <w:rPr>
                <w:rFonts w:ascii="Times New Roman" w:hAnsi="Times New Roman"/>
                <w:szCs w:val="16"/>
              </w:rPr>
              <w:t>неполностью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внесшие плату за коммунальные услуги, уплачивают исполнителю пени в размере, установленном частью 14 статьи 155 Жилищного кодекса Российской Федерации.</w:t>
            </w:r>
          </w:p>
        </w:tc>
      </w:tr>
      <w:tr w:rsidR="00172557">
        <w:trPr>
          <w:trHeight w:val="60"/>
        </w:trPr>
        <w:tc>
          <w:tcPr>
            <w:tcW w:w="12285" w:type="dxa"/>
            <w:gridSpan w:val="13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3.4. Потребитель не вправе: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3.4.1. Нарушать самовольно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3.4.2. Подключать </w:t>
            </w:r>
            <w:proofErr w:type="spellStart"/>
            <w:r>
              <w:rPr>
                <w:rFonts w:ascii="Times New Roman" w:hAnsi="Times New Roman"/>
                <w:szCs w:val="16"/>
              </w:rPr>
              <w:t>несанкционированно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      </w:r>
          </w:p>
        </w:tc>
      </w:tr>
      <w:tr w:rsidR="00172557">
        <w:trPr>
          <w:trHeight w:val="60"/>
        </w:trPr>
        <w:tc>
          <w:tcPr>
            <w:tcW w:w="12285" w:type="dxa"/>
            <w:gridSpan w:val="13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3.5. Потребитель имеет право: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3.5.1. Получать в необходимых объемах коммунальные услуги надлежащего качества.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3.5.2. Получать от РСО сведения о правильности исчисления предъявленного потребителю к уплате размера платы за коммунальные услуги, а также о наличии (об отсутствии) задолженности или переплаты потребителя за коммунальные услуги, наличии оснований и правильности начисления исполнителем потребителю неустоек (штрафов, пеней).</w:t>
            </w:r>
          </w:p>
        </w:tc>
      </w:tr>
      <w:tr w:rsidR="00172557">
        <w:trPr>
          <w:trHeight w:val="60"/>
        </w:trPr>
        <w:tc>
          <w:tcPr>
            <w:tcW w:w="12285" w:type="dxa"/>
            <w:gridSpan w:val="13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3.5.3. По своему выбору: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а) оплачивать коммунальные услуги наличными денежными средствами, в безналичной форме с использованием счетов, </w:t>
            </w:r>
            <w:proofErr w:type="gramStart"/>
            <w:r>
              <w:rPr>
                <w:rFonts w:ascii="Times New Roman" w:hAnsi="Times New Roman"/>
                <w:szCs w:val="16"/>
              </w:rPr>
              <w:t>открытых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через сеть Интернет и в иных формах, предусмотренных законодательством Российской Федерации, с обязательным сохранением документов, подтверждающих оплату, в течение не менее 3 лет со дня оплаты;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б) поручать другим лицам внесение платы за коммунальные услуги вместо них любыми способами, не противоречащими требованиям законодательства Российской Федерации и настоящему договору;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в) вносить плату за коммунальные услуги за последний расчетный период частями, не нарушая срок внесения платы за коммунальные услуги, установленный настоящим договором;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г) осуществлять предварительную оплату коммунальных услуг в счет будущих расчетных периодов.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3.5.4. Требовать от РСО проведения проверок качества предоставляемых коммунальных услуг в порядке, определенном настоящим Договором.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3.5.5. </w:t>
            </w:r>
            <w:proofErr w:type="gramStart"/>
            <w:r>
              <w:rPr>
                <w:rFonts w:ascii="Times New Roman" w:hAnsi="Times New Roman"/>
                <w:szCs w:val="16"/>
              </w:rPr>
              <w:t>Требовать от РСО в случаях и порядке, определенном действующим законодательством,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случае, если нарушение качества коммунальной услуги и (или)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инженерно-технического обеспечения, а также за период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временного отсутствия потребителя в занимаемом жилом помещении.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proofErr w:type="gramStart"/>
            <w:r>
              <w:rPr>
                <w:rFonts w:ascii="Times New Roman" w:hAnsi="Times New Roman"/>
                <w:szCs w:val="16"/>
              </w:rPr>
              <w:t xml:space="preserve">Если нарушение качества коммунальной услуги и (или) перерывы в предоставлении коммунальных услуг, превышающие их установленную продолжительность, возникли во внутридомовых инженерных системах, то изменение размера платы за коммунальную услугу РСО не производится, а потребитель вправе требовать возмещения причиненных ему убытков, в том числе вызванных внесением платы за </w:t>
            </w:r>
            <w:proofErr w:type="spellStart"/>
            <w:r>
              <w:rPr>
                <w:rFonts w:ascii="Times New Roman" w:hAnsi="Times New Roman"/>
                <w:szCs w:val="16"/>
              </w:rPr>
              <w:t>непредоставленную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коммунальную услугу или коммунальную услугу ненадлежащего качества с лиц, привлеченных собственниками помещений в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многоквартирном </w:t>
            </w:r>
            <w:proofErr w:type="gramStart"/>
            <w:r>
              <w:rPr>
                <w:rFonts w:ascii="Times New Roman" w:hAnsi="Times New Roman"/>
                <w:szCs w:val="16"/>
              </w:rPr>
              <w:t>доме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или собственниками жилых домов (домовладений) для обслуживания внутридомовых инженерных систем.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3.5.6. </w:t>
            </w:r>
            <w:proofErr w:type="gramStart"/>
            <w:r>
              <w:rPr>
                <w:rFonts w:ascii="Times New Roman" w:hAnsi="Times New Roman"/>
                <w:szCs w:val="16"/>
              </w:rPr>
              <w:t>Требовать от представителя РСО предъявления документов,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учета, достоверности предоставленных потребителем сведений о показаниях приборов учета, снятия показаний приборов учета, для осмотра технического и санитарного состояния внутриквартирного оборудования, и для совершения иных действий, связанных с исполнением настоящего договора.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3.5.7. Требовать от РСО совершения действий по вводу в эксплуатацию установленного прибора учета, соответствующего требованиям законодательства Российской Федерации об обеспечении единства измерений, не позднее месяца, следующего за днем его установки, а также требовать осуществления расчетов размера </w:t>
            </w:r>
            <w:proofErr w:type="gramStart"/>
            <w:r>
              <w:rPr>
                <w:rFonts w:ascii="Times New Roman" w:hAnsi="Times New Roman"/>
                <w:szCs w:val="16"/>
              </w:rPr>
              <w:t>платы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за коммунальные услуги исходя из показаний введенного в эксплуатацию прибора учета, начиная с 1-го числа месяца, следующего за месяцем ввода прибора учета в эксплуатацию.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3.5.8. Требовать от РСО проверки состояния приборов учета в срок, не превышающий 10 рабочих дней со дня получения от потребителя письменного заявления о необходимости проведения такой проверки в отношении его прибора учета.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3.5.9.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3.5.10. При прекращении права собственности на помещение расторгнуть Договор в одностороннем порядке, письменного уведомив об этом РСО в срок не позднее 5 рабочих дней и полностью оплатив потребленные коммунальные услуги на дату расторжения Договора.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4. ПОРЯДОК РАСЧЕТОВ И ОПЛАТЫ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4.1. Расчет размера платы за коммунальные услуги производится в порядке, установленном Правилами предоставления коммунальных услуг.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4.2. Расчётный период для оплаты коммунальных услуг устанавливается равным календарному месяцу.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4.3. </w:t>
            </w:r>
            <w:proofErr w:type="gramStart"/>
            <w:r>
              <w:rPr>
                <w:rFonts w:ascii="Times New Roman" w:hAnsi="Times New Roman"/>
                <w:szCs w:val="16"/>
              </w:rPr>
              <w:t>Размер платы за коммунальные услуги рассчитывается согласно действующим нормативам потребления, утвержденным в установленном порядке органами государственной власти субъектов Российской Федерации и применяемым для расчета размера платы за коммунальную услугу при отсутствии приборов учета и в иных случаях, предусмотренных настоящим договорам, по тарифам (ценам), установленным РСО в порядке, определенном законодательством РФ о государственном регулировании цен (тарифов).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Pr="006F7DB4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 w:rsidRPr="006F7DB4">
              <w:rPr>
                <w:rFonts w:ascii="Times New Roman" w:hAnsi="Times New Roman"/>
                <w:szCs w:val="16"/>
              </w:rPr>
              <w:t>4.4. Потребитель в многоквартирном доме в составе платы за коммунальные услуги отдельно вносит плату за коммунальные услуги, предоставленные потребителю в жилом помещении и в установленных случаях плату за коммунальные услуги, предоставленные на общедомовые нужды. Оплата за коммунальные услуги в жилом помещении производится на основании платежных документов, представляемых согласно п. 3.1.8. настоящего Договора, в том числе платежных документов в электронной форме, размещенных в государственной информационной системе жилищно-коммунального хозяйства, по реквизитам, указанным в платежных документах.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Pr="006F7DB4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 w:rsidRPr="006F7DB4">
              <w:rPr>
                <w:rFonts w:ascii="Times New Roman" w:hAnsi="Times New Roman"/>
                <w:szCs w:val="16"/>
              </w:rPr>
              <w:t>4.5. Размер платы за холодное водоснабжение, в том числе с объемом на нужды горячего водоснабжения, в помещении, оборудованном приборами учета, определяется по формуле 1 приложения № 2 к Правилам № 354.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Pr="006F7DB4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 w:rsidRPr="006F7DB4">
              <w:rPr>
                <w:rFonts w:ascii="Times New Roman" w:hAnsi="Times New Roman"/>
                <w:szCs w:val="16"/>
              </w:rPr>
              <w:t>4.6. Размер платы за холодное водоснабжение, в том числе с объемом на нужды горячего водоснабжения, в помещении, не оборудованном приборами учета, определяется по формуле 4 приложения № 2 к Правилам № 354. 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Pr="006F7DB4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 w:rsidRPr="006F7DB4">
              <w:rPr>
                <w:rFonts w:ascii="Times New Roman" w:hAnsi="Times New Roman"/>
                <w:szCs w:val="16"/>
              </w:rPr>
              <w:t xml:space="preserve">4.7. </w:t>
            </w:r>
            <w:proofErr w:type="gramStart"/>
            <w:r w:rsidRPr="006F7DB4">
              <w:rPr>
                <w:rFonts w:ascii="Times New Roman" w:hAnsi="Times New Roman"/>
                <w:szCs w:val="16"/>
              </w:rPr>
              <w:t>Потребитель, не имеющий приборов учета по холодному и горячему (в случае предоставления услуги холодного водоснабжения с объемом на нужды горячего водоснабжения) водоснабжению, в жилом помещении, где имеется техническая возможность установки таких приборов учета, оплачивает услугу согласно соответствующим нормативам потребления с учетом повышающего коэффициента – 1,5 по формуле 4.1 приложения № 2 к Правилам № 354.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4.8. Размер платы за водоотведение рассчитывается исходя из суммы объемов потребления холодной и горячей воды.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4.9. Расчет размера платы за коммунальную услугу Потребителю, проживающему в коммунальной квартире, проводится по формулам 7, 17 приложения № 2 к Правилам № 354.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4.10. </w:t>
            </w:r>
            <w:proofErr w:type="gramStart"/>
            <w:r>
              <w:rPr>
                <w:rFonts w:ascii="Times New Roman" w:hAnsi="Times New Roman"/>
                <w:szCs w:val="16"/>
              </w:rPr>
              <w:t>В случае выхода из строя прибора учета или истечения срока эксплуатации прибора учета, а также при не предоставлении Потребителем показаний прибора учета, расчет размера платы производится согласно пункту 59 Правил № 354, но не более 3 расчетных периодов подряд, по истечении этого срока, плата рассчитывается в соответствии с пунктом 42 Правил № 354, исходя из соответствующих нормативов потребления с применением повышающего коэффициента.</w:t>
            </w:r>
            <w:proofErr w:type="gramEnd"/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4.11. </w:t>
            </w:r>
            <w:proofErr w:type="gramStart"/>
            <w:r>
              <w:rPr>
                <w:rFonts w:ascii="Times New Roman" w:hAnsi="Times New Roman"/>
                <w:szCs w:val="16"/>
              </w:rPr>
              <w:t>Если в ходе проводимой проверки достоверности предъявленных потребителем сведений о показаниях индивидуального (квартирного) прибора учета установлено, что прибор учета находится в исправном состоянии, пломбы не повреждены, но выявлены расхождения в показаниях, то перерасчет размера платы производится, исходя из снятых в ходе проверки показаний, при этом объем коммунального ресурса в размере выявленной разницы в показаниях считается потребленным в течение того месяца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, в </w:t>
            </w:r>
            <w:proofErr w:type="gramStart"/>
            <w:r>
              <w:rPr>
                <w:rFonts w:ascii="Times New Roman" w:hAnsi="Times New Roman"/>
                <w:szCs w:val="16"/>
              </w:rPr>
              <w:t>котором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проведена проверка (пункт 61 Правил № 354).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4.12. При обнаружении подключения, осуществленного с нарушением установленного порядка (далее – несанкционированное подключение) внутриквартирного оборудования Потребителя к внутридомовым инженерным сетям или к централизованным сетям инженерно-технического обеспечения напрямую или в обход приборов учета необходимо незамедлительно демонтировать такое подключение. РСО производит доначисление платы за коммунальную услугу – по пропускной способности трубы и ее круглосуточной работы за период, начиная </w:t>
            </w:r>
            <w:proofErr w:type="gramStart"/>
            <w:r>
              <w:rPr>
                <w:rFonts w:ascii="Times New Roman" w:hAnsi="Times New Roman"/>
                <w:szCs w:val="16"/>
              </w:rPr>
              <w:t>с даты подключения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до даты устранения. Если дату несанкционированного подключения установить невозможно, то доначисление производится, начиная </w:t>
            </w:r>
            <w:proofErr w:type="gramStart"/>
            <w:r>
              <w:rPr>
                <w:rFonts w:ascii="Times New Roman" w:hAnsi="Times New Roman"/>
                <w:szCs w:val="16"/>
              </w:rPr>
              <w:t>с даты проведения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предыдущей проверки, но не более чем за 3 месяца, предшествующие месяцу, в котором выявлено такое подключение (пункт 62 Правил № 354).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4.13. При обнаружении факта несанкционированного вмешательства в работу прибора учета, РСО производит доначисление платы за коммунальную </w:t>
            </w:r>
            <w:r>
              <w:rPr>
                <w:rFonts w:ascii="Times New Roman" w:hAnsi="Times New Roman"/>
                <w:szCs w:val="16"/>
              </w:rPr>
              <w:lastRenderedPageBreak/>
              <w:t xml:space="preserve">услугу – исходя из объема, рассчитанного на основании нормативов потребления соответствующих коммунальных услуг с применением повышающего коэффициента 10, начиная </w:t>
            </w:r>
            <w:proofErr w:type="gramStart"/>
            <w:r>
              <w:rPr>
                <w:rFonts w:ascii="Times New Roman" w:hAnsi="Times New Roman"/>
                <w:szCs w:val="16"/>
              </w:rPr>
              <w:t>с даты вмешательства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в работу прибора до даты устранения. Если дату несанкционированного вмешательства установить невозможно, то доначисление производится, начиная </w:t>
            </w:r>
            <w:proofErr w:type="gramStart"/>
            <w:r>
              <w:rPr>
                <w:rFonts w:ascii="Times New Roman" w:hAnsi="Times New Roman"/>
                <w:szCs w:val="16"/>
              </w:rPr>
              <w:t>с даты проведения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предыдущей проверки, но не более чем за 3 месяца, предшествующие дате проверки прибора учета (пункт 81(11) Правил № 354).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lastRenderedPageBreak/>
              <w:t>4.14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ри отсутствии допуска РСО в занимаемое потребителем жилое помещение в дату и время, указанные в извещении о проведении проверки и отсутствии информации о  временном отсутствии Потребителя в занимаемом жилом помещении, плата за коммунальные услуги производится исходя из соответствующих нормативов потребления коммунальных услуг с учетом количества постоянно и временно проживающих в жилом помещении лиц с учетом повышающего коэффициента начиная с 1-го числа месяца, в котором составлен акт о </w:t>
            </w:r>
            <w:proofErr w:type="spellStart"/>
            <w:r>
              <w:rPr>
                <w:rFonts w:ascii="Times New Roman" w:hAnsi="Times New Roman"/>
                <w:szCs w:val="16"/>
              </w:rPr>
              <w:t>недопуске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. Величина повышающего коэффициента принимается </w:t>
            </w:r>
            <w:proofErr w:type="gramStart"/>
            <w:r>
              <w:rPr>
                <w:rFonts w:ascii="Times New Roman" w:hAnsi="Times New Roman"/>
                <w:szCs w:val="16"/>
              </w:rPr>
              <w:t>равной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1,5 (пункт 85, 85.3 Правил № 354).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4.15. В случае если потребитель частично оплачивает предоставляемые РСО коммунальные услуги, то РСО делит полученную от потребителя плату между всеми указанными в платежном документе видами коммунальных услуг пропорционально размеру каждой платы, указанной в платежном документе. В этом случае РСО рассчитывает задолженность </w:t>
            </w:r>
            <w:proofErr w:type="gramStart"/>
            <w:r>
              <w:rPr>
                <w:rFonts w:ascii="Times New Roman" w:hAnsi="Times New Roman"/>
                <w:szCs w:val="16"/>
              </w:rPr>
              <w:t>потребителя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по каждому виду коммунальной услуги исходя из частично неоплаченной суммы.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4.16. При оплате за оказанные РСО услуги потребитель в обязательном порядке указывает в назначении платежа: Ф.И.О., расчетный период (месяц), лицевой счет, на основании которых производится перечисление денежных средств по настоящему договору. Денежные средства, внесенные на основании платежного документа, содержащего указание на расчетный период, засчитываются в счет оплаты жилого помещения и коммунальных услуг за период, указанный в этом платежном документе. При неверном указании назначения платежа потребителем, РСО вправе перечисленные денежные средства учесть в счет погашения последней из </w:t>
            </w:r>
            <w:proofErr w:type="gramStart"/>
            <w:r>
              <w:rPr>
                <w:rFonts w:ascii="Times New Roman" w:hAnsi="Times New Roman"/>
                <w:szCs w:val="16"/>
              </w:rPr>
              <w:t>возникших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задолженности потребителя.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4.17. В случае если Потребителю предоставляются меры социальной поддержки (льготы, субсидии) размер платы уменьшению не подлежит и уплачивается в полном объёме (пункт 77 Правил № 354).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4.18.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помещение. Если между собственниками достигнуто соглашение о назначении лиц, уполномоченных заключать договоры с РСО от имени всех собственников (нанимателей) такого помещения, то РСО может заключить договор, холодного водоснабжения и водоотведения, с  каждым из таких уполномоченных лиц и производить распределение платы за предоставленные коммунальные услуги в таком помещении между уполномоченными лицами. Указанное соглашение должно быть оформлено в письменной форме, подписано всеми собственниками (нанимателями) или их уполномоченными представителями и передано РСО. РСО может производить начисление платы за предоставленные коммунальные услуги на лиц, уполномоченных действовать от имени всех собственников (нанимателей) в соответствии с полученным от них соглашением, начиная с месяца, следующего за месяцем, в котором такое соглашение было передано РСО. При отсутствии указанного соглашения договор холодного водоснабжения и водоотведения заключается с первым обратившимся собственником (нанимателем) такого помещения в качестве уполномоченного лица и распределение платы за предоставленные коммунальные услуги в таком помещении между собственниками (нанимателями) не производится.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4.19. Если сумма произведенного платежа недостаточна для полного погашения денежного обязательства, то в первую очередь погашается сумма основного долга, затем издержки РСО в связи с принудительной реализацией своего требования к должнику (сумма уплаченной госпошлины при обращении в суд и т.п.), затем пени, подлежащие уплате согласно действующему законодательству.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5. ОТВЕТСТВЕННОСТЬ СТОРОН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5.2. В случае несвоевременной оплаты потреблённых коммунальных ресурсов, РСО вправе требовать от Потребителя уплаты пени в размере, установленном действующим законодательском РФ.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5.3. РСО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обеспечения. </w:t>
            </w:r>
            <w:proofErr w:type="gramStart"/>
            <w:r>
              <w:rPr>
                <w:rFonts w:ascii="Times New Roman" w:hAnsi="Times New Roman"/>
                <w:szCs w:val="16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РСО не отвечает за обслуживание внутридомовых инженерных систем и не несет ответственность за нарушение качества коммунальной услуги и (или) перерывы в предоставлении коммунальных услуг, превышающие их установленную продолжительность, вследствие нарушений работы внутридомовых инженерных систем.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5.4 Стороны освобождаются от ответственности за неисполнением или ненадлежащее исполнение договорных обязатель</w:t>
            </w:r>
            <w:proofErr w:type="gramStart"/>
            <w:r>
              <w:rPr>
                <w:rFonts w:ascii="Times New Roman" w:hAnsi="Times New Roman"/>
                <w:szCs w:val="16"/>
              </w:rPr>
              <w:t>ств в сл</w:t>
            </w:r>
            <w:proofErr w:type="gramEnd"/>
            <w:r>
              <w:rPr>
                <w:rFonts w:ascii="Times New Roman" w:hAnsi="Times New Roman"/>
                <w:szCs w:val="16"/>
              </w:rPr>
              <w:t>учаях наступления форс-мажорных обстоятельств / пожар, блокада, стихийные бедствия, военные действия, изменение действующего законодательства/ и других случаях, т.е. при наличии тех обстоятельств, наступление которых стороны не могли предвидеть при заключении настоящего договора.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6. СРОК ДЕЙСТВИЯ ДОГОВОРА, ИЗМЕНЕНИЕ И РАСТОРЖЕНИЕ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6.1. Договор считается заключенным </w:t>
            </w:r>
            <w:proofErr w:type="gramStart"/>
            <w:r>
              <w:rPr>
                <w:rFonts w:ascii="Times New Roman" w:hAnsi="Times New Roman"/>
                <w:szCs w:val="16"/>
              </w:rPr>
              <w:t>с Даты начала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предоставления коммунальных услуг и действует на  неопределённый срок.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6.2. Настоящий договор, может </w:t>
            </w:r>
            <w:proofErr w:type="gramStart"/>
            <w:r>
              <w:rPr>
                <w:rFonts w:ascii="Times New Roman" w:hAnsi="Times New Roman"/>
                <w:szCs w:val="16"/>
              </w:rPr>
              <w:t>быть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расторгнут или изменен в соответствии с нормами действующего законодательства.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6.3.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(при их наличии). При изменении тарифов на коммунальные услуги, нормативов потребления коммунальных услуг, внесении изменений в  нормативно-правовые  акты РФ -  заключение дополнительного соглашения не требуется.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7. ПРОЧИЕ УСЛОВИЯ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7.1. Споры, возникающие между сторонами, разрешается путем переговоров, а в случае </w:t>
            </w:r>
            <w:proofErr w:type="gramStart"/>
            <w:r>
              <w:rPr>
                <w:rFonts w:ascii="Times New Roman" w:hAnsi="Times New Roman"/>
                <w:szCs w:val="16"/>
              </w:rPr>
              <w:t>не достижения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согласия – спор передаётся на разрешение в судебные органы по  месту нахождения РСО.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7.2. Настоящий договор составлен в 2-х экземплярах, один из которых находится у РСО, другой у Потребителя.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7.3. Обработка персональных данных Потребителя осуществляется РСО в соответствии с Федеральным законом «О персональных данных». </w:t>
            </w:r>
            <w:proofErr w:type="gramStart"/>
            <w:r>
              <w:rPr>
                <w:rFonts w:ascii="Times New Roman" w:hAnsi="Times New Roman"/>
                <w:szCs w:val="16"/>
              </w:rPr>
              <w:t>Подписанием Договора Потребитель выражает согласие на осуществление РСО обработки (сбора, систематизации, накопления, хранения, уточнения (обновления, изменения), использования, распространение (в том числе передачи), его персональных данных, включающих: фамилию, имя, отчество, пол, дату и место рождения, место фактического проживания, место регистрации по месту жительства, регистрационные данные документа, удостоверяющего личность (номер, серия, дата выдачи, наименование органа, выдавшего документ), контактные телефоны, количество проживающих по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 месту жительства, информацию, содержащуюся в правоустанавливающих документах на недвижимое имущество (документах о государственной регистрации прав на недвижимое имущество, договорах купли-продажи, дарения, аренды, найма, социального найма, поднайма, документах, подтверждающих права на наследование имущества и др.)  в соответствии с требованиями Федерального закона от 27.07.2006г. № 152-ФЗ «О персональных данных». Указанные Потребителем персональные данные предоставляются с целью информирования, а также передачи РСО персональных данных в компании, осуществляющие рассылку (в том числе почтовую, электронную и SMS-оповещений), в иные организации, юридическим лицам. Согласие предоставляется с момента подписания Потребителем настоящего договора бессрочно.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7.4. Для решения вопросов, связанных с соблюдением и исполнением условий настоящего договора,  Потребитель может обратиться в Управление реализации СГМУП «Горводоканал» по адресу: 628400, Россия, Ханты-Мансийский автономный округ, город Сургут, ул. Дзержинского, 7/2, тел. 8(3462) 55-04-41, ф.8(3462) 35-53-45, эл. почта: sale.department@gvk86.ru,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7.5. Стороны пришли к соглашению, что при заключении договора, дополнительных соглашений, соглашений о расторжении договора РСО может быть использовано факсимильное воспроизведение подписи.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7.6. Во всем, что не предусмотрено условиями настоящего договора, стороны руководствуются действующим законодательством Российской Федерации.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8. ПОЧТОВЫЕ АДРЕСА И РЕКВИЗИТЫ СТОРОН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8.1.РЕСУРСОСНАБЖАЮЩАЯ ОРГАНИЗАЦИЯ</w:t>
            </w:r>
          </w:p>
        </w:tc>
        <w:tc>
          <w:tcPr>
            <w:tcW w:w="5670" w:type="dxa"/>
            <w:gridSpan w:val="6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8.2. ПОТРЕБИТЕЛЬ: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Сургутское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городское муниципальное унитарное предприятие «Горводоканал»</w:t>
            </w:r>
          </w:p>
        </w:tc>
        <w:tc>
          <w:tcPr>
            <w:tcW w:w="5670" w:type="dxa"/>
            <w:gridSpan w:val="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72557">
        <w:trPr>
          <w:gridAfter w:val="1"/>
          <w:wAfter w:w="360" w:type="dxa"/>
          <w:trHeight w:val="210"/>
        </w:trPr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Юридический адрес: 628400, Россия, Ханты-Мансийский автономный округ - Югра, город Сургут, ул. </w:t>
            </w:r>
            <w:proofErr w:type="spellStart"/>
            <w:r>
              <w:rPr>
                <w:rFonts w:ascii="Times New Roman" w:hAnsi="Times New Roman"/>
                <w:szCs w:val="16"/>
              </w:rPr>
              <w:t>Аэрофлотская</w:t>
            </w:r>
            <w:proofErr w:type="spellEnd"/>
            <w:r>
              <w:rPr>
                <w:rFonts w:ascii="Times New Roman" w:hAnsi="Times New Roman"/>
                <w:szCs w:val="16"/>
              </w:rPr>
              <w:t>, 4.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210"/>
        </w:trPr>
        <w:tc>
          <w:tcPr>
            <w:tcW w:w="567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7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 w:rsidTr="006F7DB4">
        <w:trPr>
          <w:gridAfter w:val="1"/>
          <w:wAfter w:w="360" w:type="dxa"/>
          <w:trHeight w:val="236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Почтовый адрес: 628400, Россия, Ханты-Мансийский автономный округ, город Сургут, ул. </w:t>
            </w:r>
            <w:proofErr w:type="spellStart"/>
            <w:r>
              <w:rPr>
                <w:rFonts w:ascii="Times New Roman" w:hAnsi="Times New Roman"/>
                <w:szCs w:val="16"/>
              </w:rPr>
              <w:t>Аэрофлотская</w:t>
            </w:r>
            <w:proofErr w:type="spellEnd"/>
            <w:r>
              <w:rPr>
                <w:rFonts w:ascii="Times New Roman" w:hAnsi="Times New Roman"/>
                <w:szCs w:val="16"/>
              </w:rPr>
              <w:t>, 4.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 w:rsidP="006F7DB4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lastRenderedPageBreak/>
              <w:t>ИНН 8602016725 КПП 860201001,</w:t>
            </w:r>
          </w:p>
        </w:tc>
        <w:tc>
          <w:tcPr>
            <w:tcW w:w="567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ОГРН 1028600592470, ОКТМО 71876000,</w:t>
            </w:r>
          </w:p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ОКПО 49835377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Дата постановки на учет в налоговом органе: 27.08.1998</w:t>
            </w:r>
          </w:p>
        </w:tc>
        <w:tc>
          <w:tcPr>
            <w:tcW w:w="567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proofErr w:type="gramStart"/>
            <w:r>
              <w:rPr>
                <w:rFonts w:ascii="Times New Roman" w:hAnsi="Times New Roman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Cs w:val="16"/>
              </w:rPr>
              <w:t>/счет 407 02 810 967 17 000 77 73</w:t>
            </w:r>
          </w:p>
        </w:tc>
        <w:tc>
          <w:tcPr>
            <w:tcW w:w="567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Cs w:val="16"/>
              </w:rPr>
              <w:t>Сургутском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отделении №5940 Западно-Сибирском банке ПАО «Сбербанк» г. Тюмень,</w:t>
            </w:r>
          </w:p>
        </w:tc>
        <w:tc>
          <w:tcPr>
            <w:tcW w:w="5670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proofErr w:type="gramStart"/>
            <w:r>
              <w:rPr>
                <w:rFonts w:ascii="Times New Roman" w:hAnsi="Times New Roman"/>
                <w:szCs w:val="16"/>
              </w:rPr>
              <w:t>к</w:t>
            </w:r>
            <w:proofErr w:type="gramEnd"/>
            <w:r>
              <w:rPr>
                <w:rFonts w:ascii="Times New Roman" w:hAnsi="Times New Roman"/>
                <w:szCs w:val="16"/>
              </w:rPr>
              <w:t>\счет 3010 1810 8000 0000 0651,</w:t>
            </w:r>
          </w:p>
        </w:tc>
        <w:tc>
          <w:tcPr>
            <w:tcW w:w="567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БИК 047102651,</w:t>
            </w:r>
          </w:p>
        </w:tc>
        <w:tc>
          <w:tcPr>
            <w:tcW w:w="5670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тел.8(3462) 55-04-41, факс 8(3462) 35-53-45</w:t>
            </w:r>
          </w:p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Управление реализации СГМУП «Горводоканал:</w:t>
            </w:r>
          </w:p>
        </w:tc>
        <w:tc>
          <w:tcPr>
            <w:tcW w:w="5670" w:type="dxa"/>
            <w:gridSpan w:val="6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628400, Россия, Ханты-Мансийский автономный округ, город Сургут, ул. Дзержинского, 7/2, тел. 8(3462) 55-04-41, ф.8(3462) 35-53-45, эл. почта: sale.department@gvk86.ru</w:t>
            </w:r>
          </w:p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70" w:type="dxa"/>
            <w:gridSpan w:val="6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5670" w:type="dxa"/>
            <w:gridSpan w:val="6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670" w:type="dxa"/>
            <w:gridSpan w:val="6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8505" w:type="dxa"/>
            <w:gridSpan w:val="9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9. ПОДПИСИ СТОРОН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4725" w:type="dxa"/>
            <w:gridSpan w:val="5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Cs w:val="16"/>
              </w:rPr>
              <w:t>Ресурсоснабжающая</w:t>
            </w:r>
            <w:proofErr w:type="spellEnd"/>
            <w:r>
              <w:rPr>
                <w:rFonts w:ascii="Times New Roman" w:hAnsi="Times New Roman"/>
                <w:b/>
                <w:szCs w:val="16"/>
              </w:rPr>
              <w:t xml:space="preserve"> организация</w:t>
            </w: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835" w:type="dxa"/>
            <w:gridSpan w:val="3"/>
            <w:shd w:val="clear" w:color="FFFFFF" w:fill="auto"/>
          </w:tcPr>
          <w:p w:rsidR="00172557" w:rsidRDefault="006F7DB4">
            <w:pPr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 xml:space="preserve"> </w:t>
            </w:r>
            <w:r w:rsidR="007E5FDB">
              <w:rPr>
                <w:rFonts w:ascii="Times New Roman" w:hAnsi="Times New Roman"/>
                <w:b/>
                <w:szCs w:val="16"/>
              </w:rPr>
              <w:t>Потребитель</w:t>
            </w: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835" w:type="dxa"/>
            <w:gridSpan w:val="3"/>
            <w:vMerge w:val="restart"/>
            <w:shd w:val="clear" w:color="FFFFFF" w:fill="auto"/>
          </w:tcPr>
          <w:p w:rsidR="00172557" w:rsidRDefault="006F7DB4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172557" w:rsidRDefault="007E5FDB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/</w:t>
            </w:r>
          </w:p>
        </w:tc>
        <w:tc>
          <w:tcPr>
            <w:tcW w:w="2835" w:type="dxa"/>
            <w:gridSpan w:val="3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</w:tbl>
    <w:p w:rsidR="00172557" w:rsidRDefault="007E5FDB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8"/>
        <w:gridCol w:w="912"/>
        <w:gridCol w:w="900"/>
        <w:gridCol w:w="866"/>
        <w:gridCol w:w="866"/>
        <w:gridCol w:w="863"/>
        <w:gridCol w:w="863"/>
        <w:gridCol w:w="863"/>
        <w:gridCol w:w="863"/>
        <w:gridCol w:w="905"/>
        <w:gridCol w:w="894"/>
        <w:gridCol w:w="887"/>
        <w:gridCol w:w="839"/>
      </w:tblGrid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договору холодного водоснабжения и водоотведения</w:t>
            </w:r>
          </w:p>
        </w:tc>
      </w:tr>
      <w:tr w:rsidR="00172557">
        <w:trPr>
          <w:gridAfter w:val="1"/>
          <w:wAfter w:w="360" w:type="dxa"/>
        </w:trPr>
        <w:tc>
          <w:tcPr>
            <w:tcW w:w="6615" w:type="dxa"/>
            <w:gridSpan w:val="7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gridAfter w:val="1"/>
          <w:wAfter w:w="360" w:type="dxa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и условия предоставления коммунальных услуг</w:t>
            </w:r>
          </w:p>
        </w:tc>
      </w:tr>
      <w:tr w:rsidR="00172557">
        <w:trPr>
          <w:gridAfter w:val="1"/>
          <w:wAfter w:w="360" w:type="dxa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настоящему Договору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Ресурсоснабжающая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предоставляет Потребителю следующие виды коммунальных услуг: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коммунальной услуги</w:t>
            </w:r>
          </w:p>
        </w:tc>
        <w:tc>
          <w:tcPr>
            <w:tcW w:w="8505" w:type="dxa"/>
            <w:gridSpan w:val="9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предоставления коммунальной услуги, требования к качеству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Холодное водоснабжение</w:t>
            </w:r>
          </w:p>
        </w:tc>
        <w:tc>
          <w:tcPr>
            <w:tcW w:w="8505" w:type="dxa"/>
            <w:gridSpan w:val="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Условиями предоставления коммунальных является следующее: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Бесперебойное круглосуточное холодное водоснабжение в течение года. Допустимая продолжительность перерыва подачи холодной воды: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часов (суммарно) в течение 1 месяца, 4 часа единовременно, при аварии в централизованных сетях инженерно-технического обеспечения холодного водоснабжения - в соответствии с требованиями законодательства Российской Федерации о техническом регулировании, установленными для наружных водопроводных сетей и сооружений (СНиП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.04.02-84*).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Постоянное соответствие состава и свойств холодной воды требованиям законодательства Российской Федерации о техническом регулировании (СанПиН 2.1.4.1074-01).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Давление в системе холодного водоснабжения в точке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водоразбора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top w:val="non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многоквартирных домах и жилых домах - от 0,03 МПа (0,3 кгс/кв. см) до 0,6 МПа (6 кгс/кв. см);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 водоразборных колонок - не менее 0,1 МПа (1 кгс/кв. см).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Водоотведение</w:t>
            </w:r>
          </w:p>
        </w:tc>
        <w:tc>
          <w:tcPr>
            <w:tcW w:w="8505" w:type="dxa"/>
            <w:gridSpan w:val="9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Условиями предоставления коммунальных является следующее: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Бесперебойное круглосуточное водоотведение в течение года.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Допустимая продолжительность перерыва водоотведения: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283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9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8 часо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суммарно) в течение 1 месяца, 4 часа единовременно (в том числе при аварии).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РСО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инженерно-технического обеспечения.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4725" w:type="dxa"/>
            <w:gridSpan w:val="5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Ресурсоснабжающая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</w:t>
            </w: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5" w:type="dxa"/>
            <w:gridSpan w:val="7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Потребитель</w:t>
            </w: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restart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vMerge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vMerge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gridAfter w:val="1"/>
          <w:wAfter w:w="360" w:type="dxa"/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</w:tbl>
    <w:p w:rsidR="00172557" w:rsidRDefault="007E5FDB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договору холодного водоснабжения и водоотведения</w:t>
            </w: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Параметры жилого помещения, параметры многоквартирного дома (МКД),</w:t>
            </w:r>
          </w:p>
        </w:tc>
      </w:tr>
      <w:tr w:rsidR="00172557">
        <w:trPr>
          <w:trHeight w:val="60"/>
        </w:trPr>
        <w:tc>
          <w:tcPr>
            <w:tcW w:w="11340" w:type="dxa"/>
            <w:gridSpan w:val="12"/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сведения об установленных приборах учета</w:t>
            </w: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многоквартирного дома: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(улица, дом №)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 ИТП (да / нет)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(квартира № / нежилое в осях)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помещения,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комнат, ед.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собственников, лиц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постоянно / временно проживающих лиц, лиц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технической возможности установки индивидуальных, общих (квартирных), комнатных приборов учета (да/ нет)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помещений, входящих в состав общего имущества в многоквартирном доме,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жилых и нежилых помещений в многоквартирном доме,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²</w:t>
            </w:r>
          </w:p>
        </w:tc>
        <w:tc>
          <w:tcPr>
            <w:tcW w:w="661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установленных приборах учета ХВС в помещении на момент заключения настоящего договора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Модель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Модель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Заводской номер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Заводской номер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показания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показания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установленных приборах учета ГВС в помещении на момент заключения настоящего договора</w:t>
            </w: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Модель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Модель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Заводской номер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Заводской номер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показания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Начальные показания</w:t>
            </w:r>
          </w:p>
        </w:tc>
      </w:tr>
      <w:tr w:rsidR="00172557">
        <w:trPr>
          <w:trHeight w:val="60"/>
        </w:trPr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72557" w:rsidRDefault="001725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tcMar>
              <w:left w:w="210" w:type="dxa"/>
            </w:tcMar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4725" w:type="dxa"/>
            <w:gridSpan w:val="5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Ресурсоснабжающая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</w:t>
            </w: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gridSpan w:val="5"/>
            <w:shd w:val="clear" w:color="FFFFFF" w:fill="auto"/>
          </w:tcPr>
          <w:p w:rsidR="00172557" w:rsidRDefault="007E5F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Потребитель</w:t>
            </w: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 w:val="restart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  <w:tr w:rsidR="00172557">
        <w:trPr>
          <w:trHeight w:val="60"/>
        </w:trPr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</w:tcPr>
          <w:p w:rsidR="00172557" w:rsidRDefault="00172557">
            <w:pPr>
              <w:rPr>
                <w:rFonts w:ascii="Times New Roman" w:hAnsi="Times New Roman"/>
                <w:szCs w:val="16"/>
              </w:rPr>
            </w:pPr>
          </w:p>
        </w:tc>
      </w:tr>
    </w:tbl>
    <w:p w:rsidR="007E5FDB" w:rsidRDefault="007E5FDB"/>
    <w:sectPr w:rsidR="007E5FDB">
      <w:pgSz w:w="11907" w:h="16839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57"/>
    <w:rsid w:val="00172557"/>
    <w:rsid w:val="00293619"/>
    <w:rsid w:val="002C616B"/>
    <w:rsid w:val="006F7DB4"/>
    <w:rsid w:val="007E5FDB"/>
    <w:rsid w:val="00866652"/>
    <w:rsid w:val="00D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6301</Words>
  <Characters>35918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Х Губанова</dc:creator>
  <cp:lastModifiedBy>Елизавета Д. Новичкова</cp:lastModifiedBy>
  <cp:revision>5</cp:revision>
  <dcterms:created xsi:type="dcterms:W3CDTF">2021-12-17T04:32:00Z</dcterms:created>
  <dcterms:modified xsi:type="dcterms:W3CDTF">2021-12-17T10:51:00Z</dcterms:modified>
</cp:coreProperties>
</file>